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Convocation aux réunions du conseil municipal. Légalité. Notice explicative. Document explicitant le bien-fondé de la délibération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Dans les communes de 3 500 habitants et plus, la convocation aux réunions du conseil municipal doit être accompagnée d'une note explicative de synthèse portant sur chacun des points de l'ordre du jour (art. L 2121-12 et 13 du CGCT). Une justification détaillée du bien-fondé des propositions qui sont soumises aux conseillers n'est pas exigée (CAA Nancy, 6 juin 2019, </w:t>
      </w:r>
    </w:p>
    <w:p>
      <w:pPr/>
      <w:r>
        <w:rPr>
          <w:i w:val="1"/>
          <w:iCs w:val="1"/>
        </w:rPr>
        <w:t xml:space="preserve">commune de Belfort</w:t>
      </w:r>
    </w:p>
    <w:p>
      <w:pPr/>
      <w:r>
        <w:rPr/>
        <w:t xml:space="preserve">, n° 18NC01563).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2026-08-24T11:29:18+02:00</dcterms:created>
  <dcterms:modified xsi:type="dcterms:W3CDTF">2026-08-24T11:29:18+02:00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