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MAPA. Recours à la négociation. Obligation d'information des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pouvoir adjudicateur décide, s'agissant d'un marché passé selon une procédure adaptée, de recourir à la négociation, le principe de transparence des procédures impose qu'il en informe les candidats potentiels dès le début de la procédure, dans l'avis public d'appel à la concurrence ou dans les documents de la consultation, ou à tout le moins qu'il précise, dans l'un de ces documents, qu'il se réserve la possibilité de négocier. En l'espèce, ni l'avis d'appel public à la concurrence ni le règlement de la consultation ne mentionnaient que le pouvoir adjudicateur entendait recourir à la négociation ou se réservait une telle possibilité. Par suite, le recours à la négociation dans de telles conditions a entaché la procédure d'attribution du marché d'irrégularité (CAA Lyon, 28 février 2019,</w:t>
      </w:r>
    </w:p>
    <w:p>
      <w:pPr/>
      <w:r>
        <w:rPr>
          <w:i w:val="1"/>
          <w:iCs w:val="1"/>
        </w:rPr>
        <w:t xml:space="preserve"> préfet du Rhône,</w:t>
      </w:r>
    </w:p>
    <w:p>
      <w:pPr/>
      <w:r>
        <w:rPr/>
        <w:t xml:space="preserve"> n° 17LY00190).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2026-03-10T00:37:51+01:00</dcterms:created>
  <dcterms:modified xsi:type="dcterms:W3CDTF">2026-03-10T00:37:51+01:00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