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Pension de réversion. Suppression en cas de PACS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conclusion d'un PACS entraîne la suppression de la réversion.</w:t>
      </w:r>
    </w:p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Si les dispositions de l'article 47 du décret n° 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2003-1306</w:t>
      </w:r>
    </w:p>
    <w:p>
      <w:pPr/>
      <w:r>
        <w:rPr/>
        <w:t xml:space="preserve"> du 26 décembre 2003 ne mentionnent, parmi les modifications de la situation familiale du bénéficiaire d'une pension de réversion qui entraînent la perte du droit à pension, que le remariage ou l'état de concubinage notoire, elles impliquent nécessairement, eu égard à l'objet de cette réglementation, que la conclusion d'un pacte civil de solidarité produise le même effet.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La perception par l’intéressé de sa pension de réversion malgré un PACS, consécutive à une absence de déclaration auprès de l'administration, alors même que cette omission ne révèle aucune intention frauduleuse ou mauvaise foi, fait obstacle à l'application de la prescription prévue par </w:t>
      </w:r>
    </w:p>
    <w:p>
      <w:pPr/>
      <w:hyperlink r:id="rId7" w:history="1">
        <w:r>
          <w:rPr/>
          <w:t xml:space="preserve">l'article L 93 </w:t>
        </w:r>
      </w:hyperlink>
    </w:p>
    <w:p>
      <w:pPr/>
      <w:r>
        <w:rPr/>
        <w:t xml:space="preserve">du code des pensions civiles et militaires de retraite. Par suite, l’intéressé ne pouvait bénéficier de cette prescription et doit rembourser la somme de 20 600 € (CE, 28 janvier 2019, 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414805).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62863&amp;cidTexte=LEGITEXT000006070302&amp;dateTexte=20190207&amp;fastPos=2&amp;fastReqId=244560881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2026-03-10T03:35:40+01:00</dcterms:created>
  <dcterms:modified xsi:type="dcterms:W3CDTF">2026-03-10T03:35:40+01:00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