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Tarification des risques d'accidents du travail et de maladies professionnelles pour l'année 2019</w:t>
      </w:r>
    </w:p>
    <w:p>
      <w:pPr>
        <w:pStyle w:val="Heading2"/>
      </w:pPr>
      <w:r>
        <w:rPr/>
        <w:t xml:space="preserve">Revue - Fonction Publique Territoriale</w:t>
      </w:r>
    </w:p>
    <w:p>
      <w:pPr>
        <w:pStyle w:val="Heading3"/>
      </w:pPr>
      <w:r>
        <w:rPr/>
        <w:t xml:space="preserve">Source - JO</w:t>
      </w:r>
    </w:p>
    <w:p/>
    <w:p>
      <w:pPr/>
      <w:r>
        <w:rPr/>
        <w:t xml:space="preserve"> Concernant la tarification des risques d'accidents du travail et de maladies professionnelles pour l'année 2019, l'arrêté du 26 décembre 2018 présente dans son annexe le taux pour les collectivités.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2026-09-30T06:09:20+02:00</dcterms:created>
  <dcterms:modified xsi:type="dcterms:W3CDTF">2026-09-30T06:09:20+02:00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