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Propriété privée non entretenue. Pouvoirs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L'article L 2213-25 du CGCT permet au maire, pour des motifs environnementaux, d'imposer à un propriétaire privé de remettre en état un terrain non bâti situé à l'intérieur d'une zone d'habitation. Sur le fondement de ces dispositions, la jurisprudence a par exemple admis qu'un maire puisse imposer le nettoyage du jardin d'une propriété envahi par une végétation abondante sur lequel des engins de chantier détériorés avaient été abandonnés à la suite de l'arrêt des travaux de rénovation d'un immeuble ancien implanté sur l'une des parcelles (CAA Nancy, 17 janvier 2008, </w:t>
      </w:r>
    </w:p>
    <w:p>
      <w:pPr/>
      <w:hyperlink r:id="rId7" w:history="1">
        <w:r>
          <w:rPr>
            <w:i w:val="1"/>
            <w:iCs w:val="1"/>
          </w:rPr>
          <w:t xml:space="preserve">SCI Breton d'Amblans</w:t>
        </w:r>
      </w:hyperlink>
    </w:p>
    <w:p>
      <w:pPr/>
      <w:r>
        <w:rPr/>
        <w:t xml:space="preserve">, n° 06NC01005). Il peut en être déduit que la présence d'un immeuble sur une parcelle ne fait pas obstacle à l'intervention du maire sur la partie de terrain non bâtie de cette parcelle.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Par ailleurs, sur le fondement des dispositions des articles L 2243-1 et suivants du CGCT, le maire peut constater, par procès-verbal, l'abandon manifeste d'une parcelle lorsque des immeubles, parties d'immeubles, voies privées assorties d'une servitude de passage public, installations et terrains sans occupant à titre habituel ne sont manifestement plus entretenus. Ce procès-verbal, qui est notifié au propriétaire de la parcelle, indique la nature des désordres affectant le bien auxquels il convient de remédier pour faire cesser l'état d'abandon manifeste. À défaut de réalisation des travaux par le propriétaire, la commune pourra engager une procédure simplifiée d'expropriation pour cause d'utilité publique. </w:t>
      </w:r>
    </w:p>
    <w:p>
      <w:pPr/>
      <w:r>
        <w:rPr>
          <w:b w:val="1"/>
          <w:bCs w:val="1"/>
        </w:rPr>
        <w:t xml:space="preserve">3. </w:t>
      </w:r>
    </w:p>
    <w:p>
      <w:pPr/>
      <w:r>
        <w:rPr/>
        <w:t xml:space="preserve">Enfin, en cas de danger grave ou imminent, le maire prescrit l'exécution des mesures exigées par les circonstances, si besoin sur une propriété privée (CE, 11 juillet 2014, </w:t>
      </w:r>
    </w:p>
    <w:p>
      <w:pPr/>
      <w:hyperlink r:id="rId8" w:history="1">
        <w:r>
          <w:rPr>
            <w:i w:val="1"/>
            <w:iCs w:val="1"/>
          </w:rPr>
          <w:t xml:space="preserve">copropriété Les Hauts de Riffroids</w:t>
        </w:r>
      </w:hyperlink>
    </w:p>
    <w:p>
      <w:pPr/>
      <w:r>
        <w:rPr/>
        <w:t xml:space="preserve">, n° 360835)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27.12.2018, question n° 07239, p. 6745).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18257746&amp;fastReqId=1504359172&amp;fastPos=1" TargetMode="External"/><Relationship Id="rId8" Type="http://schemas.openxmlformats.org/officeDocument/2006/relationships/hyperlink" Target="https://www.legifrance.gouv.fr/affichJuriAdmin.do?oldAction=rechJuriAdmin&amp;idTexte=CETATEXT000029225102&amp;fastReqId=165356251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2026-06-14T00:53:17+02:00</dcterms:created>
  <dcterms:modified xsi:type="dcterms:W3CDTF">2026-06-14T00:53:17+02:00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