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sur la voie publique. Enlèvement. Devoirs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Aux termes des dispositions de l'article L 226-1 du code rural et de la pêche maritime et du décret n° 2005-1220 du 28 septembre 2005 pris pour son application, l'État a la responsabilité du service public de l'équarrissage. Ainsi, l'Etat est notamment chargé de la collecte, de la transformation et de l'élimination des animaux de plus de 40 kg dont le propriétaire est inconnu ou inexistant. </w:t>
      </w:r>
    </w:p>
    <w:p>
      <w:pPr/>
      <w:r>
        <w:rPr>
          <w:b w:val="1"/>
          <w:bCs w:val="1"/>
        </w:rPr>
        <w:t xml:space="preserve">2.</w:t>
      </w:r>
    </w:p>
    <w:p>
      <w:pPr/>
      <w:r>
        <w:rPr/>
        <w:t xml:space="preserve"> En outre, l'article R 226-12 du même code dispose qu'il est de la responsabilité du maire, au titre de ses pouvoirs de police générale relatifs à la sauvegarde de la salubrité publique, de veiller à ce que le cadavre d'un animal soit pris en charge par le titulaire du marché de la collecte des animaux morts. À cet effet, l'arrêté préfectoral portant à la connaissance du public toutes les informations permettant de contacter les titulaires de marchés chargés de la collecte des sous-produits animaux relevant du service public de l'équarrissage, est affiché à la mairie de chaque commune (art. R 226-11 du code précité). L'enlèvement des cadavres d'animaux morts qui se trouveraient sur la voie publique ne relève donc pas de la compétence du gestionnaire de la voirie (</w:t>
      </w:r>
    </w:p>
    <w:p>
      <w:pPr/>
      <w:r>
        <w:rPr>
          <w:i w:val="1"/>
          <w:iCs w:val="1"/>
        </w:rPr>
        <w:t xml:space="preserve">JO</w:t>
      </w:r>
    </w:p>
    <w:p>
      <w:pPr/>
      <w:r>
        <w:rPr/>
        <w:t xml:space="preserve"> Sénat, 14.06.2018, question n° 02216, p. 2994).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2026-01-22T18:03:15+01:00</dcterms:created>
  <dcterms:modified xsi:type="dcterms:W3CDTF">2026-01-22T18:03:15+01:00</dcterms:modified>
</cp:coreProperties>
</file>

<file path=docProps/custom.xml><?xml version="1.0" encoding="utf-8"?>
<Properties xmlns="http://schemas.openxmlformats.org/officeDocument/2006/custom-properties" xmlns:vt="http://schemas.openxmlformats.org/officeDocument/2006/docPropsVTypes"/>
</file>