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mixte. Obligation de retrait d’une collectivité en cas de perte d’une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du 3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l'article L 5721-6-3 du CGCT, éclairé par les travaux parlementaires qui ont précédé son adoption, que lorsqu'une collectivité territoriale ne dispose plus d'une compétence au titre de laquelle elle participait à un groupement, tel qu'un syndicat mixte, sa participation se trouve désormais privée de base légale et ne peut donc que prendre fin (CE, 13 décembre 2017, </w:t>
      </w:r>
    </w:p>
    <w:p>
      <w:pPr/>
      <w:r>
        <w:rPr>
          <w:i w:val="1"/>
          <w:iCs w:val="1"/>
        </w:rPr>
        <w:t xml:space="preserve">Assemblée des départements de France, </w:t>
      </w:r>
    </w:p>
    <w:p>
      <w:pPr/>
      <w:r>
        <w:rPr/>
        <w:t xml:space="preserve">n° 406563).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2026-03-10T03:37:21+01:00</dcterms:created>
  <dcterms:modified xsi:type="dcterms:W3CDTF">2026-03-10T03:37:21+01:00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