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Bâtiment détruit par un sinistre. Reconstruction à l’identique. Exception : réglementation locale d'urbanisme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111-3 du code de l'urbanisme que, dès lors qu'un bâtiment a été régulièrement construit, seules des dispositions expresses de la réglementation locale d'urbanisme prévoyant l'interdiction de la reconstruction à l'identique de bâtiments détruits par sinistre ou démolis peuvent faire légalement obstacle à sa reconstruction (CE, 8 novembre 2017, </w:t>
      </w:r>
    </w:p>
    <w:p>
      <w:pPr/>
      <w:r>
        <w:rPr>
          <w:rFonts w:ascii="Arial" w:hAnsi="Arial" w:eastAsia="Arial" w:cs="Arial"/>
          <w:sz w:val="19.219199999999997"/>
          <w:szCs w:val="19.219199999999997"/>
          <w:i w:val="1"/>
          <w:iCs w:val="1"/>
        </w:rPr>
        <w:t xml:space="preserve">société Battos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, </w:t>
      </w:r>
    </w:p>
    <w:p>
      <w:pPr/>
      <w:r>
        <w:rPr/>
        <w:t xml:space="preserve">n° 403599).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2026-04-25T06:17:59+02:00</dcterms:created>
  <dcterms:modified xsi:type="dcterms:W3CDTF">2026-04-25T06:17:59+02:00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