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r>
        <w:rPr/>
        <w:t xml:space="preserve">Absence sans autorisation. Retenue sur traitement. Compétence liée de l'administration</w:t>
      </w:r>
    </w:p>
    <w:p>
      <w:pPr>
        <w:pStyle w:val="Heading2"/>
      </w:pPr>
      <w:r>
        <w:rPr/>
        <w:t xml:space="preserve">Revue - Fonction Publique Territoriale</w:t>
      </w:r>
    </w:p>
    <w:p>
      <w:pPr>
        <w:pStyle w:val="Heading3"/>
      </w:pPr>
      <w:r>
        <w:rPr/>
        <w:t xml:space="preserve">Source - Jurisprudence</w:t>
      </w:r>
    </w:p>
    <w:p/>
    <w:p>
      <w:pPr/>
      <w:r>
        <w:rPr/>
        <w:t xml:space="preserve"> L’administration a compétence liée pour procéder à une retenue sur traitement, à due proportion, en l'absence de service fait (CAA Versailles, 6 juillet 2017, </w:t>
      </w:r>
    </w:p>
    <w:p>
      <w:pPr/>
      <w:r>
        <w:rPr>
          <w:i w:val="1"/>
          <w:iCs w:val="1"/>
        </w:rPr>
        <w:t xml:space="preserve">M. D.</w:t>
      </w:r>
    </w:p>
    <w:p>
      <w:pPr/>
      <w:r>
        <w:rPr/>
        <w:t xml:space="preserve">, n° 15VE01108). 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before="220" w:after="240"/>
    </w:pPr>
    <w:rPr>
      <w:rFonts w:ascii="Arial" w:hAnsi="Arial" w:eastAsia="Arial" w:cs="Arial"/>
      <w:color w:val="000000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after="240"/>
    </w:pPr>
    <w:rPr>
      <w:rFonts w:ascii="Arial" w:hAnsi="Arial" w:eastAsia="Arial" w:cs="Arial"/>
      <w:color w:val="000000"/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240"/>
    </w:pPr>
    <w:rPr>
      <w:rFonts w:ascii="Arial" w:hAnsi="Arial" w:eastAsia="Arial" w:cs="Arial"/>
      <w:color w:val="000000"/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2026-09-30T06:13:45+02:00</dcterms:created>
  <dcterms:modified xsi:type="dcterms:W3CDTF">2026-09-30T06:13:45+02:00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