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Droit de préemption. Silence du vendeur. Renonciation d’aliéner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L'article R 213-10 du code de l'urbanisme précise que, lorsque le vendeur d'un bien reçoit une offre d'acquisition de la part du titulaire du droit de préemption, il dispose d'un délai de 2 mois à compter de la réception de l'offre pour lui notifier sa réponse. Dans l'hypothèse où le vendeur conserve son silence à l'expiration du délai de 2 mois, son silence, selon le même article, « équivaut à une renonciation d'aliéner ». La jurisprudence, tant de la Cour de cassation (Cass., 4 juin 2003, </w:t>
      </w:r>
    </w:p>
    <w:p>
      <w:pPr/>
      <w:hyperlink r:id="rId7" w:history="1">
        <w:r>
          <w:rPr/>
          <w:t xml:space="preserve">n° 00-17084</w:t>
        </w:r>
      </w:hyperlink>
    </w:p>
    <w:p>
      <w:pPr/>
      <w:r>
        <w:rPr/>
        <w:t xml:space="preserve">) que du Conseil d'État (CE, 22 avril 2005, </w:t>
      </w:r>
    </w:p>
    <w:p>
      <w:pPr/>
      <w:hyperlink r:id="rId8" w:history="1">
        <w:r>
          <w:rPr>
            <w:i w:val="1"/>
            <w:iCs w:val="1"/>
          </w:rPr>
          <w:t xml:space="preserve">ville de Choisy-le-Roi</w:t>
        </w:r>
      </w:hyperlink>
    </w:p>
    <w:p>
      <w:pPr/>
      <w:r>
        <w:rPr/>
        <w:t xml:space="preserve">, n° 274054), a confirmé ce point (</w:t>
      </w:r>
    </w:p>
    <w:p>
      <w:pPr/>
      <w:r>
        <w:rPr>
          <w:i w:val="1"/>
          <w:iCs w:val="1"/>
        </w:rPr>
        <w:t xml:space="preserve">JO </w:t>
      </w:r>
    </w:p>
    <w:p>
      <w:pPr/>
      <w:r>
        <w:rPr/>
        <w:t xml:space="preserve">Sénat, 19.10.2017, question n° 00931, p. 3248).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JuriJudi.do?oldAction=rechJuriJudi&amp;idTexte=JURITEXT000007047968&amp;fastReqId=1694514497&amp;fastPos=2" TargetMode="External"/><Relationship Id="rId8" Type="http://schemas.openxmlformats.org/officeDocument/2006/relationships/hyperlink" Target="https://www.legifrance.gouv.fr/affichJuriAdmin.do?oldAction=rechJuriAdmin&amp;idTexte=CETATEXT000008226155&amp;fastReqId=654976573&amp;fastPos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2026-04-25T04:50:26+02:00</dcterms:created>
  <dcterms:modified xsi:type="dcterms:W3CDTF">2026-04-25T04:50:26+02:00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