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Engagement de l’élaboration d’une carte communale. Acte préparatoire. Délibération (non)</w:t>
      </w:r>
    </w:p>
    <w:p>
      <w:pPr>
        <w:pStyle w:val="Heading2"/>
      </w:pPr>
      <w:r>
        <w:rPr/>
        <w:t xml:space="preserve">Revue - Urbanisme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 La décision d’engager la procédure d’élaboration d’une carte communale constitue un acte préparatoire et n’est pas subordonnée à l’intervention d’une délibération du conseil municipal (CE, 19 juillet 2017, </w:t>
      </w:r>
    </w:p>
    <w:p>
      <w:pPr/>
      <w:r>
        <w:rPr>
          <w:i w:val="1"/>
          <w:iCs w:val="1"/>
        </w:rPr>
        <w:t xml:space="preserve">ministre du Logement</w:t>
      </w:r>
    </w:p>
    <w:p>
      <w:pPr/>
      <w:r>
        <w:rPr/>
        <w:t xml:space="preserve">, n° 403805).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2026-07-25T11:49:01+02:00</dcterms:created>
  <dcterms:modified xsi:type="dcterms:W3CDTF">2026-07-25T11:49:01+02:00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