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Certificat de décès. Deux modèles à compter du 1er janvier 2018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Lois et décrets</w:t>
      </w:r>
    </w:p>
    <w:p/>
    <w:p>
      <w:pPr/>
      <w:r>
        <w:rPr/>
        <w:t xml:space="preserve"> L’arrêté du 17 juillet 2017 précise qu’il est institué, à compter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janvier 2018 deux certificats de décès : le premier concerne les décès néonatals jusqu'à 27 jours de vie (mort-nés exclus), le second concerne les décès à partir du 28</w:t>
      </w:r>
    </w:p>
    <w:p>
      <w:pPr/>
      <w:r>
        <w:rPr>
          <w:vertAlign w:val="superscript"/>
        </w:rPr>
        <w:t xml:space="preserve">e</w:t>
      </w:r>
    </w:p>
    <w:p>
      <w:pPr/>
      <w:r>
        <w:rPr/>
        <w:t xml:space="preserve"> jour.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2026-09-08T17:18:37+02:00</dcterms:created>
  <dcterms:modified xsi:type="dcterms:W3CDTF">2026-09-08T17:18:37+02:00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