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Données à caractère personnel. Communication à un ayant droit (oui sous conditions)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Il résulte des dispositions des articles 2 et 39 de la loi n° 78-17 du 6 janvier 1978 relative à l'informatique, aux fichiers et aux libertés, que la communication de données à caractère personnel n'est possible qu'à la personne concernée par ces données. Par suite, la seule qualité d'ayant droit d'une personne à laquelle se rapportent des données ne confère pas la qualité de « personne concernée » par leur traitement au sens de ces dispositions. Toutefois, lorsque la victime d'un dommage décède, son droit à la réparation de ce dommage, entré dans son patrimoine, est transmis à ses héritiers, saisis de plein droit des biens, droits et actions du défunt en application du premier alinéa de l'article 724 du code civil. Par suite, lorsque la victime a engagé une action en réparation avant son décès ou lorsque ses héritiers ont ultérieurement eux-mêmes engagé une telle action, ces derniers doivent être regardés comme des « personnes concernées » au sens des articles 2 et 39 de la loi du 6 janvier 1978 pour l'exercice de leur droit d'accès aux données à caractère personnel concernant le défunt, dans la mesure nécessaire à l'établissement du préjudice que ce dernier a subi en vue de sa réparation et pour les seuls besoins de l'instance engagée (CE, 7 juin 2017, </w:t>
      </w:r>
    </w:p>
    <w:p>
      <w:pPr/>
      <w:r>
        <w:rPr>
          <w:i w:val="1"/>
          <w:iCs w:val="1"/>
        </w:rPr>
        <w:t xml:space="preserve">M. B.</w:t>
      </w:r>
    </w:p>
    <w:p>
      <w:pPr/>
      <w:r>
        <w:rPr/>
        <w:t xml:space="preserve">, n° 399446).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2026-09-08T17:20:18+02:00</dcterms:created>
  <dcterms:modified xsi:type="dcterms:W3CDTF">2026-09-08T17:20:18+02:00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