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Sous-traitance. Paiement direct. Contrôle des travaux par le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l'hypothèse d'une rémunération directe du sous-traitant par le maître d'ouvrage, ce dernier peut contrôler l'exécution effective des travaux sous-traités et le montant de la créance du sous-traitant afin de s'assurer que la consistance des travaux correspond à ce qui est prévu par le marché (CE, 09.06.2017, </w:t>
      </w:r>
    </w:p>
    <w:p>
      <w:pPr/>
      <w:r>
        <w:rPr>
          <w:i w:val="1"/>
          <w:iCs w:val="1"/>
        </w:rPr>
        <w:t xml:space="preserve">société Keller Fondations Spéciales</w:t>
      </w:r>
    </w:p>
    <w:p>
      <w:pPr/>
      <w:r>
        <w:rPr/>
        <w:t xml:space="preserve">, n° 396358).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2026-06-13T19:12:30+02:00</dcterms:created>
  <dcterms:modified xsi:type="dcterms:W3CDTF">2026-06-13T19:12:30+02:00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