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Agent en grève. Bénéfice de la protection fonctionnelle (oui)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 Les dispositions de l'article 11 de la loi n° 83-634 du 13 juillet 1983 ne font pas obstacle à ce qu'un agent public demande à bénéficier de la protection fonctionnelle pour des faits survenus à une date à laquelle il participait à un mouvement de cessation collective et concertée du travail (grève). Il appartient alors à cet agent d'établir que les faits dont il a été victime sont en lien avec l'exercice de ses fonctions, au sens de ces mêmes dispositions (CE, 22.05.2017, </w:t>
      </w:r>
    </w:p>
    <w:p>
      <w:pPr/>
      <w:r>
        <w:rPr>
          <w:i w:val="1"/>
          <w:iCs w:val="1"/>
        </w:rPr>
        <w:t xml:space="preserve">commune de Sète</w:t>
      </w:r>
    </w:p>
    <w:p>
      <w:pPr/>
      <w:r>
        <w:rPr/>
        <w:t xml:space="preserve">, n° 396453).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2026-09-30T04:53:09+02:00</dcterms:created>
  <dcterms:modified xsi:type="dcterms:W3CDTF">2026-09-30T04:53:09+02:00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