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r>
        <w:rPr/>
        <w:t xml:space="preserve">PACS. Ecart d’âge important (oui)</w:t>
      </w:r>
    </w:p>
    <w:p>
      <w:pPr>
        <w:pStyle w:val="Heading2"/>
      </w:pPr>
      <w:r>
        <w:rPr/>
        <w:t xml:space="preserve">Revue - Etat Civil</w:t>
      </w:r>
    </w:p>
    <w:p>
      <w:pPr>
        <w:pStyle w:val="Heading3"/>
      </w:pPr>
      <w:r>
        <w:rPr/>
        <w:t xml:space="preserve">Source - Jurisprudence</w:t>
      </w:r>
    </w:p>
    <w:p/>
    <w:p>
      <w:pPr/>
      <w:r>
        <w:rPr/>
        <w:t xml:space="preserve">Un écart d'âge important n'interdit pas le PACS. Si la loi interdit le PACS entre ascendant et descendant en ligne directe, entre alliés en ligne directe et entre collatéraux jusqu'au 3</w:t>
      </w:r>
      <w:r>
        <w:rPr>
          <w:vertAlign w:val="superscript"/>
        </w:rPr>
        <w:t xml:space="preserve">e</w:t>
      </w:r>
      <w:r>
        <w:rPr/>
        <w:t xml:space="preserve"> degré, elle n'interdit pas à deux personnes sans lien de parenté de se pacser même si elles ont entre elles une grande différence d'âge et des relations de père à fils (Cass., 08.03.2017, n° 16-18685).  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before="220" w:after="240"/>
    </w:pPr>
    <w:rPr>
      <w:rFonts w:ascii="Arial" w:hAnsi="Arial" w:eastAsia="Arial" w:cs="Arial"/>
      <w:color w:val="000000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after="240"/>
    </w:pPr>
    <w:rPr>
      <w:rFonts w:ascii="Arial" w:hAnsi="Arial" w:eastAsia="Arial" w:cs="Arial"/>
      <w:color w:val="000000"/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240"/>
    </w:pPr>
    <w:rPr>
      <w:rFonts w:ascii="Arial" w:hAnsi="Arial" w:eastAsia="Arial" w:cs="Arial"/>
      <w:color w:val="000000"/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2026-09-30T04:53:00+02:00</dcterms:created>
  <dcterms:modified xsi:type="dcterms:W3CDTF">2026-09-30T04:53:00+02:00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