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Exécution d'une sanction. Changement d’employeur. Compétence liée du nouvel employeur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Une sanction infligée par une autorité territoriale ne produit pas d'effet au-delà du ressort de cette autorité, et la nouvelle autorité territoriale n'est pas en situation de compétence liée pour exécuter une sanction prise par une autre autorité (CE,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2013, </w:t>
      </w:r>
    </w:p>
    <w:p>
      <w:pPr/>
      <w:hyperlink r:id="rId7" w:history="1">
        <w:r>
          <w:rPr/>
          <w:t xml:space="preserve">département C.</w:t>
        </w:r>
      </w:hyperlink>
    </w:p>
    <w:p>
      <w:pPr/>
      <w:r>
        <w:rPr/>
        <w:t xml:space="preserve">, n° 361819 ; 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AN, 07.02.2017, question n° 99797, p. 1117).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7124510&amp;fastReqId=2049823069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2026-04-29T11:54:52+02:00</dcterms:created>
  <dcterms:modified xsi:type="dcterms:W3CDTF">2026-04-29T11:54:52+02:00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