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EPCI. Nombre d'habitants. Seuil minimal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</w:t>
      </w:r>
    </w:p>
    <w:p>
      <w:pPr/>
      <w:r>
        <w:rPr/>
        <w:t xml:space="preserve"> Il résulte de l'article L 5210-1-1 du CGCT que le législateur a entendu imposer un seuil minimal de 15 000 habitants, abaissé à 5 000 habitants dans certaines circonstances, pour tout EPCI à fiscalité propre et que ce seuil doit être interprété strictement. Il suit de là que le préfet est tenu de refuser tout projet de regroupement intercommunal laissant subsister un EPCI à fiscalité propre dont la population n'atteindrait pas ce seuil.   </w:t>
      </w:r>
    </w:p>
    <w:p>
      <w:pPr/>
      <w:r>
        <w:rPr>
          <w:b w:val="1"/>
          <w:bCs w:val="1"/>
        </w:rPr>
        <w:t xml:space="preserve">2. </w:t>
      </w:r>
    </w:p>
    <w:p>
      <w:pPr/>
      <w:r>
        <w:rPr/>
        <w:t xml:space="preserve">Par ailleurs, la dissolution d'un EPCI crée, par elle-même, une situation d'urgence à l'égard de cet établissement : l'arrêté préfectoral en étant à l'origine est donc susceptible de faire l'objet d'un référé-suspension (CE, 17.03.2017, </w:t>
      </w:r>
    </w:p>
    <w:p>
      <w:pPr/>
      <w:r>
        <w:rPr>
          <w:i w:val="1"/>
          <w:iCs w:val="1"/>
        </w:rPr>
        <w:t xml:space="preserve">ministre de l'intérieur</w:t>
      </w:r>
    </w:p>
    <w:p>
      <w:pPr/>
      <w:r>
        <w:rPr/>
        <w:t xml:space="preserve">, n° 404891).    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2026-09-30T04:53:38+02:00</dcterms:created>
  <dcterms:modified xsi:type="dcterms:W3CDTF">2026-09-30T04:53:38+02:00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