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EPCI. Nombre d'habitants. Seuil minimal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 l'article L 5210-1-1 du CGCT que le législateur a entendu imposer un seuil minimal de 15 000 habitants, abaissé à 5 000 habitants dans certaines circonstances, pour tout EPCI à fiscalité propre et que ce seuil doit être interprété strictement. Il suit de là que le préfet est tenu de refuser tout projet de regroupement intercommunal laissant subsister un EPCI à fiscalité propre dont la population n'atteindrait pas ce seuil.  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Par ailleurs, la dissolution d'un EPCI crée, par elle-même, une situation d'urgence à l'égard de cet établissement : l'arrêté préfectoral en étant à l'origine est donc susceptible de faire l'objet d'un référé-suspension (CE, 17.03.2017, </w:t>
      </w:r>
    </w:p>
    <w:p>
      <w:pPr/>
      <w:r>
        <w:rPr>
          <w:i w:val="1"/>
          <w:iCs w:val="1"/>
        </w:rPr>
        <w:t xml:space="preserve">ministre de l'intérieur</w:t>
      </w:r>
    </w:p>
    <w:p>
      <w:pPr/>
      <w:r>
        <w:rPr/>
        <w:t xml:space="preserve">, n° 404891).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2026-07-01T07:44:09+02:00</dcterms:created>
  <dcterms:modified xsi:type="dcterms:W3CDTF">2026-07-01T07:44:09+02:00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