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"Grenellisation" des PLU. Report de l'échéance : prochaine révision du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Réponses ministérielles</w:t>
      </w:r>
    </w:p>
    <w:p/>
    <w:p>
      <w:pPr/>
      <w:r>
        <w:rPr/>
        <w:t xml:space="preserve"> L'article 132 de la loi du 27 janvier 2017 relative à l'égalité et à la citoyenneté a supprimé l’échéance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2017. Ainsi, les documents d'urbanisme devront être mis en conformité avec les dispositions de la loi ENE (loi Engagement national pour l'environnement, dite Grenelle 2), au plus tard à l'occasion de leur prochaine révision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 Sénat, 02.03.2017, question n° 23609).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2026-04-24T19:09:42+02:00</dcterms:created>
  <dcterms:modified xsi:type="dcterms:W3CDTF">2026-04-24T19:09:42+02:00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