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Pr>
        <w:jc w:val="both"/>
      </w:pPr>
      <w:br/>
      <w:r>
        <w:rPr/>
        <w:t xml:space="preserve"> </w:t>
      </w:r>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Pr>
        <w:jc w:val="both"/>
      </w:pPr>
      <w:r>
        <w:rPr/>
        <w:t xml:space="preserve"> </w:t>
      </w:r>
    </w:p>
    <w:p>
      <w:pPr>
        <w:jc w:val="both"/>
      </w:pPr>
      <w:r>
        <w:rPr>
          <w:b w:val="1"/>
          <w:bCs w:val="1"/>
        </w:rPr>
        <w:t xml:space="preserve">1. Les indemnités de fonction des maires et des adjoints</w:t>
      </w:r>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Au-delà de 20 000 habitants, il n’y a pas de revalorisation des indemnités de fonction.</w:t>
      </w:r>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p>
    <w:tbl>
      <w:tblGrid>
        <w:gridCol w:w="4530" w:type="dxa"/>
        <w:gridCol w:w="4545" w:type="dxa"/>
      </w:tblGrid>
      <w:tblPr>
        <w:tblW w:w="0" w:type="auto"/>
        <w:tblCellSpacing w:w="0" w:type="dxa"/>
        <w:tblLayout w:type="autofit"/>
      </w:tblPr>
      <w:tr>
        <w:trPr/>
        <w:tc>
          <w:tcPr>
            <w:tcW w:w="453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28,6</w:t>
            </w:r>
          </w:p>
        </w:tc>
      </w:tr>
    </w:tbl>
    <w:p>
      <w:pPr>
        <w:jc w:val="both"/>
      </w:pPr>
      <w:r>
        <w:rPr/>
        <w:t xml:space="preserve">Au-delà de 20 000 habitants, il n’y a pas de revalorisation des indemnités de fonction.</w:t>
      </w:r>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Pr>
        <w:jc w:val="both"/>
      </w:pPr>
      <w:r>
        <w:rPr/>
        <w:t xml:space="preserve">Auparavant, l’enveloppe était calculée sur la base du nombre d’adjoints élus par le conseil municipal.</w:t>
      </w:r>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Pr>
        <w:numPr>
          <w:ilvl w:val="0"/>
          <w:numId w:val="4"/>
        </w:numPr>
      </w:pPr>
      <w:hyperlink r:id="rId8" w:history="1">
        <w:r>
          <w:rPr/>
          <w:t xml:space="preserve">Délibération portant revalorisation des indemnités de fonction des adjoints</w:t>
        </w:r>
      </w:hyperlink>
    </w:p>
    <w:p>
      <w:pPr>
        <w:numPr>
          <w:ilvl w:val="0"/>
          <w:numId w:val="4"/>
        </w:numPr>
      </w:pPr>
      <w:hyperlink r:id="rId9" w:history="1">
        <w:r>
          <w:rPr/>
          <w:t xml:space="preserve">Délibération portant revalorisation de l’indemnité de fonction du maire non fixée à son maximum</w:t>
        </w:r>
      </w:hyperlink>
      <w:br/>
      <w:r>
        <w:rPr/>
        <w:t xml:space="preserve"> </w:t>
      </w:r>
    </w:p>
    <w:p>
      <w:pPr>
        <w:jc w:val="both"/>
      </w:pPr>
      <w:r>
        <w:rPr>
          <w:b w:val="1"/>
          <w:bCs w:val="1"/>
        </w:rPr>
        <w:t xml:space="preserve">2. Amélioration des conditions d’exercice du mandat</w:t>
      </w:r>
    </w:p>
    <w:p>
      <w:pPr>
        <w:jc w:val="both"/>
      </w:pPr>
      <w:r>
        <w:rPr>
          <w:b w:val="1"/>
          <w:bCs w:val="1"/>
        </w:rPr>
        <w:t xml:space="preserve">Remboursement des frais de transport et de séjour (art. L 2123-18-1).</w:t>
      </w:r>
      <w:r>
        <w:rPr/>
        <w:t xml:space="preserve"> Ce n’est plus une possibilité mais une obligation.</w:t>
      </w:r>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Pr>
        <w:jc w:val="both"/>
      </w:pPr>
      <w:r>
        <w:rPr/>
        <w:t xml:space="preserve">1° Maire, adjoint au maire ;</w:t>
      </w:r>
      <w:br/>
      <w:r>
        <w:rPr/>
        <w:t xml:space="preserve">2° Président ou vice-président de conseil départemental ou de conseil régional ;</w:t>
      </w:r>
      <w:br/>
      <w:r>
        <w:rPr/>
        <w:t xml:space="preserve">3° Président ou vice-président d'établissement public de coopération intercommunale à fiscalité propre ;</w:t>
      </w:r>
      <w:br/>
      <w:r>
        <w:rPr/>
        <w:t xml:space="preserve">4° Président ou vice-président de la métropole de Lyon ;</w:t>
      </w:r>
      <w:br/>
      <w:r>
        <w:rPr/>
        <w:t xml:space="preserve">5° Président ou vice-président de l'assemblée de Corse ;</w:t>
      </w:r>
      <w:br/>
      <w:r>
        <w:rPr/>
        <w:t xml:space="preserve">6° Président ou membre du conseil exécutif de Corse ;</w:t>
      </w:r>
      <w:br/>
      <w:r>
        <w:rPr/>
        <w:t xml:space="preserve">7° Président ou vice-président de l'assemblée de Guyane ;</w:t>
      </w:r>
      <w:br/>
      <w:r>
        <w:rPr/>
        <w:t xml:space="preserve">8° Président ou vice-président de l'assemblée de Martinique ;</w:t>
      </w:r>
      <w:br/>
      <w:r>
        <w:rPr/>
        <w:t xml:space="preserve">9° Président ou membre du conseil exécutif de Martinique ;</w:t>
      </w:r>
      <w:br/>
      <w:r>
        <w:rPr/>
        <w:t xml:space="preserve">10° Président ou vice-président de l'assemblée de Mayotte ;</w:t>
      </w:r>
      <w:br/>
      <w:r>
        <w:rPr/>
        <w:t xml:space="preserve">11° Conseiller des collectivités territoriales mentionnées aux 1° à 10° qui bénéficie d'une délégation de fonction.</w:t>
      </w:r>
    </w:p>
    <w:p>
      <w:pPr>
        <w:jc w:val="both"/>
      </w:pPr>
      <w:r>
        <w:rPr/>
        <w:t xml:space="preserve">Nul ne peut bénéficier, au titre du présent article, de plus de trois trimestres de majoration.</w:t>
      </w:r>
    </w:p>
    <w:p>
      <w:pPr>
        <w:jc w:val="both"/>
      </w:pPr>
      <w:r>
        <w:rPr/>
        <w:t xml:space="preserve">Les fonctions mentionnées au 11° n'ouvrent pas droit à la majoration de durée d'assurance lorsque l'élu est par ailleurs titulaire d'un mandat parlementaire.</w:t>
      </w:r>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Pr>
        <w:jc w:val="both"/>
      </w:pPr>
      <w:r>
        <w:rPr/>
        <w:t xml:space="preserve">Cette session comporte :</w:t>
      </w:r>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Pr>
        <w:jc w:val="both"/>
      </w:pPr>
      <w:r>
        <w:rPr/>
        <w:t xml:space="preserve">Tout mandat local se distingue d'une activité professionnelle et s'exerce dans des conditions qui lui sont propres.</w:t>
      </w:r>
      <w:br/>
      <w:r>
        <w:rPr/>
        <w:t xml:space="preserve">Il se traduit par des droits et des devoirs prévus aux articles L 1111-13 et L 1111-14. Ces dispositions constituent la charte de l'élu local. ».</w:t>
      </w:r>
    </w:p>
    <w:p>
      <w:pPr>
        <w:jc w:val="both"/>
      </w:pPr>
      <w:r>
        <w:rPr/>
        <w:t xml:space="preserve"> </w:t>
      </w:r>
    </w:p>
    <w:p>
      <w:pPr>
        <w:jc w:val="both"/>
      </w:pPr>
      <w:r>
        <w:rPr>
          <w:b w:val="1"/>
          <w:bCs w:val="1"/>
        </w:rPr>
        <w:t xml:space="preserve">3. Faciliter le mandat avec l’activité professionnelle</w:t>
      </w:r>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Pr>
        <w:jc w:val="both"/>
      </w:pPr>
      <w:r>
        <w:rPr/>
        <w:t xml:space="preserve">1° A l'Assemblée nationale ou au Sénat ;</w:t>
      </w:r>
      <w:br/>
      <w:r>
        <w:rPr/>
        <w:t xml:space="preserve">2° Au Parlement européen ;</w:t>
      </w:r>
      <w:br/>
      <w:r>
        <w:rPr/>
        <w:t xml:space="preserve">3° Au conseil municipal ;</w:t>
      </w:r>
      <w:br/>
      <w:r>
        <w:rPr/>
        <w:t xml:space="preserve">4° Au conseil d'un arrondissement de la Ville de Paris ou des communes de Lyon et Marseille ;</w:t>
      </w:r>
      <w:br/>
      <w:r>
        <w:rPr/>
        <w:t xml:space="preserve">5° Au conseil départemental ou au conseil régional ;</w:t>
      </w:r>
      <w:br/>
      <w:r>
        <w:rPr/>
        <w:t xml:space="preserve">6° A l'Assemblée de Corse ;</w:t>
      </w:r>
      <w:br/>
      <w:r>
        <w:rPr/>
        <w:t xml:space="preserve">7° Au conseil de la métropole de Lyon ;</w:t>
      </w:r>
      <w:br/>
      <w:r>
        <w:rPr/>
        <w:t xml:space="preserve">8° A l'assemblée de Guyane ;</w:t>
      </w:r>
      <w:br/>
      <w:r>
        <w:rPr/>
        <w:t xml:space="preserve">9° A l'assemblée de Martinique ;</w:t>
      </w:r>
      <w:br/>
      <w:r>
        <w:rPr/>
        <w:t xml:space="preserve">10° A l'assemblée de Mayotte.</w:t>
      </w:r>
    </w:p>
    <w:p>
      <w:pPr>
        <w:jc w:val="both"/>
      </w:pPr>
      <w:r>
        <w:rPr/>
        <w:t xml:space="preserve">Pour les élections municipales et communautaires, il était auparavant de 10 jours.</w:t>
      </w:r>
    </w:p>
    <w:p>
      <w:pPr>
        <w:jc w:val="both"/>
      </w:pPr>
      <w:r>
        <w:rPr>
          <w:b w:val="1"/>
          <w:bCs w:val="1"/>
        </w:rPr>
        <w:t xml:space="preserve">Autorisations d’absence (art. L 2123-1). </w:t>
      </w:r>
      <w:r>
        <w:rPr/>
        <w:t xml:space="preserve">Elles sont élargies :</w:t>
      </w:r>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à certaines fêtes légales (8 mai, 14 juillet et 11 novembre) et aux commémorations, fêtes et journées nationales instituées par décret ;</w:t>
      </w:r>
      <w:br/>
      <w:r>
        <w:rPr/>
        <w:t xml:space="preserve">- aux missions accomplies dans le cadre d'un mandat spécial.</w:t>
      </w:r>
    </w:p>
    <w:p>
      <w:pPr>
        <w:jc w:val="both"/>
      </w:pPr>
      <w:r>
        <w:rPr/>
        <w:t xml:space="preserve">Il est rappelé que l’employeur n'est pas tenu de payer ce temps d'absence comme temps de travail.</w:t>
      </w:r>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Pr>
        <w:jc w:val="both"/>
      </w:pPr>
      <w:r>
        <w:rPr/>
        <w:t xml:space="preserve">L'employeur ayant conclu cette convention peut se voir attribuer le label “employeur partenaire de la démocratie locale”, dans des conditions prévues par décret.</w:t>
      </w:r>
    </w:p>
    <w:p>
      <w:pPr>
        <w:jc w:val="both"/>
      </w:pPr>
      <w:r>
        <w:rPr/>
        <w:t xml:space="preserve">Des conventions-cadres peuvent être conclues entre l'employeur public ou privé et les associations représentatives des élus locaux.</w:t>
      </w:r>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Pr>
        <w:jc w:val="both"/>
      </w:pPr>
      <w:r>
        <w:rPr/>
        <w:t xml:space="preserve"> </w:t>
      </w:r>
    </w:p>
    <w:p>
      <w:pPr>
        <w:jc w:val="both"/>
      </w:pPr>
      <w:r>
        <w:rPr>
          <w:b w:val="1"/>
          <w:bCs w:val="1"/>
        </w:rPr>
        <w:t xml:space="preserve">4. Elus en situation de handicap</w:t>
      </w:r>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Pr>
        <w:jc w:val="both"/>
      </w:pPr>
      <w:r>
        <w:rPr/>
        <w:t xml:space="preserve"> </w:t>
      </w:r>
    </w:p>
    <w:p>
      <w:pPr>
        <w:jc w:val="both"/>
      </w:pPr>
      <w:r>
        <w:rPr>
          <w:b w:val="1"/>
          <w:bCs w:val="1"/>
        </w:rPr>
        <w:t xml:space="preserve">5. Faciliter le mandat avec la vie personnelle</w:t>
      </w:r>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Pr>
        <w:jc w:val="both"/>
      </w:pPr>
      <w:r>
        <w:rPr/>
        <w:t xml:space="preserve">Par dérogation, des compensations sont attribuées aussi aux communes de moins de 10 000 habitants (et non plus 3 500 habitants).</w:t>
      </w:r>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Pr>
        <w:jc w:val="both"/>
      </w:pPr>
      <w:r>
        <w:rPr/>
        <w:t xml:space="preserve">Il en est de même pour les congés paternité, d’accueil de l’enfant ou d’adoption.</w:t>
      </w:r>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Pr>
        <w:jc w:val="both"/>
      </w:pPr>
      <w:r>
        <w:rPr/>
        <w:t xml:space="preserve">Cela est désormais applicable aux adjoints et aux conseillers municipaux salariés en cas d’absence, de suspension, de révocation ou de tout autre empêchement du maire le temps du remplacement. </w:t>
      </w:r>
    </w:p>
    <w:p>
      <w:pPr>
        <w:jc w:val="both"/>
      </w:pPr>
      <w:r>
        <w:rPr/>
        <w:t xml:space="preserve"> </w:t>
      </w:r>
    </w:p>
    <w:p>
      <w:pPr>
        <w:jc w:val="both"/>
      </w:pPr>
      <w:r>
        <w:rPr>
          <w:b w:val="1"/>
          <w:bCs w:val="1"/>
        </w:rPr>
        <w:t xml:space="preserve">6. Sécuriser l’engagement des élus</w:t>
      </w:r>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Pr>
        <w:jc w:val="both"/>
      </w:pPr>
      <w:r>
        <w:rPr>
          <w:b w:val="1"/>
          <w:bCs w:val="1"/>
        </w:rPr>
        <w:t xml:space="preserve">Illégalité d'une délibération du fait de la participation d'un élu intéressé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Pr>
        <w:jc w:val="both"/>
      </w:pPr>
      <w:r>
        <w:rPr>
          <w:b w:val="1"/>
          <w:bCs w:val="1"/>
        </w:rPr>
        <w:t xml:space="preserve">Protection fonctionnelle des élus par la commune (art. L 2123-35).</w:t>
      </w:r>
      <w:r>
        <w:rPr/>
        <w:t xml:space="preserve"> Elle est étendue à tous les membres du conseil municipal.</w:t>
      </w:r>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Pr>
        <w:jc w:val="both"/>
      </w:pPr>
      <w:r>
        <w:rPr>
          <w:b w:val="1"/>
          <w:bCs w:val="1"/>
        </w:rPr>
        <w:t xml:space="preserve">Déclaration à la HATVP (</w:t>
      </w:r>
      <w:hyperlink r:id="rId13" w:history="1">
        <w:r>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Pr>
        <w:jc w:val="both"/>
      </w:pPr>
      <w:r>
        <w:rPr/>
        <w:t xml:space="preserve"> </w:t>
      </w:r>
    </w:p>
    <w:p>
      <w:pPr>
        <w:jc w:val="both"/>
      </w:pPr>
      <w:r>
        <w:rPr>
          <w:b w:val="1"/>
          <w:bCs w:val="1"/>
        </w:rPr>
        <w:t xml:space="preserve">7. Fin du mandat des élus locaux</w:t>
      </w:r>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2° Les indemnités de fonction perçues par l'élu au titre de sa dernière fonction élective sont prises en compte dans le calcul de la rémunération de référence utilisée pour la fixation du montant du revenu de remplacement.</w:t>
      </w:r>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Pr>
        <w:jc w:val="both"/>
      </w:pPr>
      <w:r>
        <w:rPr/>
        <w:t xml:space="preserve"> </w:t>
      </w:r>
    </w:p>
    <w:p>
      <w:pPr>
        <w:jc w:val="both"/>
      </w:pPr>
      <w:r>
        <w:rPr>
          <w:b w:val="1"/>
          <w:bCs w:val="1"/>
        </w:rPr>
        <w:t xml:space="preserve">8. Dispositions propres aux EPCI</w:t>
      </w:r>
    </w:p>
    <w:p>
      <w:pPr>
        <w:jc w:val="both"/>
      </w:pPr>
      <w:r>
        <w:rPr/>
        <w:t xml:space="preserve">En sus des dispositions précitées qui s’appliquent en partie aux EPCI, voici quelques dispositions propres contenues dans la loi.</w:t>
      </w:r>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Pr>
        <w:jc w:val="both"/>
      </w:pPr>
      <w:r>
        <w:rPr/>
        <w:t xml:space="preserve">Sont concernés les présidents des communautés de communes, des communautés urbaines, des communautés d'agglomération et des métropoles.</w:t>
      </w:r>
    </w:p>
    <w:p>
      <w:pPr>
        <w:jc w:val="both"/>
      </w:pPr>
      <w:r>
        <w:rPr/>
        <w:t xml:space="preserve">Toutefois et contrairement aux dispositions applicables aux autres exécutifs locaux (maires et adjoints), les modalités d'octroi des indemnités de fonction de ces élus sont précisées au niveau réglementaire et leur mise en œuvre nécessite la prise d'un décret en Conseil d'Etat. Les délibérations des conseils de ces établissements publics restent donc en vigueur jusqu'à l'intervention de ce décret (</w:t>
      </w:r>
      <w:hyperlink r:id="rId15" w:history="1">
        <w:r>
          <w:rPr/>
          <w:t xml:space="preserve">instruction du 9 février 2026</w:t>
        </w:r>
      </w:hyperlink>
      <w:r>
        <w:rPr/>
        <w:t xml:space="preserve"> relative à l'application des nouvelles dispositions concernant les indemnités de fonction des élus locaux issues de la loi n° 2025-1249 du 22 décembre 2025 portant création d'un statut de l'élu local). </w:t>
      </w:r>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Pr>
        <w:jc w:val="both"/>
      </w:pPr>
      <w:r>
        <w:rPr/>
        <w:t xml:space="preserve">Lorsque la réunion du bureau se tient entièrement ou partiellement par visioconférence, il en est fait mention dans la convocation (art. L 5211-10-1 A).</w:t>
      </w:r>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F4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 Id="rId15" Type="http://schemas.openxmlformats.org/officeDocument/2006/relationships/hyperlink" Target="https://www.collectivites-locales.gouv.fr/files/files/1.%20Connaitre%20les%20acteurs%20et%20les%20institutions/2.%20Fonction%20publique%20territoriale/La%20lettre%20FPT/Note%20information%20indemnit%C3%A9s%20de%20fon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2026-03-10T04:47:06+01:00</dcterms:created>
  <dcterms:modified xsi:type="dcterms:W3CDTF">2026-03-10T04:47:06+01:00</dcterms:modified>
</cp:coreProperties>
</file>

<file path=docProps/custom.xml><?xml version="1.0" encoding="utf-8"?>
<Properties xmlns="http://schemas.openxmlformats.org/officeDocument/2006/custom-properties" xmlns:vt="http://schemas.openxmlformats.org/officeDocument/2006/docPropsVTypes"/>
</file>