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Pr>
        <w:jc w:val="both"/>
      </w:pPr>
      <w:r>
        <w:rPr/>
        <w:t xml:space="preserve">Pour les communes utilisatrices d’un logiciel de gestion des élections, l’attestation est générée dans le logiciel.</w:t>
      </w:r>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Pr>
        <w:numPr>
          <w:ilvl w:val="0"/>
          <w:numId w:val="4"/>
        </w:numPr>
      </w:pPr>
      <w:hyperlink r:id="rId10" w:history="1">
        <w:r>
          <w:rPr/>
          <w:t xml:space="preserve">Attestation d’inscription sur les listes électorales</w:t>
        </w:r>
      </w:hyperlink>
    </w:p>
    <w:p>
      <w:pPr>
        <w:numPr>
          <w:ilvl w:val="0"/>
          <w:numId w:val="4"/>
        </w:numPr>
      </w:pPr>
      <w:hyperlink r:id="rId11" w:history="1">
        <w:r>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2E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2026-04-25T08:46:38+02:00</dcterms:created>
  <dcterms:modified xsi:type="dcterms:W3CDTF">2026-04-25T08:46:38+02:00</dcterms:modified>
</cp:coreProperties>
</file>

<file path=docProps/custom.xml><?xml version="1.0" encoding="utf-8"?>
<Properties xmlns="http://schemas.openxmlformats.org/officeDocument/2006/custom-properties" xmlns:vt="http://schemas.openxmlformats.org/officeDocument/2006/docPropsVTypes"/>
</file>