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Délibération instaurant la taxe d'habitation pour les logements vacants</w:t>
      </w:r>
    </w:p>
    <w:p>
      <w:pPr>
        <w:pStyle w:val="Heading3"/>
      </w:pPr>
      <w:r>
        <w:rPr/>
        <w:t xml:space="preserve">Source - Modèles</w:t>
      </w:r>
    </w:p>
    <w:p/>
    <w:p>
      <w:pPr>
        <w:jc w:val="both"/>
      </w:pPr>
      <w:r>
        <w:rPr/>
        <w:t xml:space="preserve">L'article </w:t>
      </w:r>
      <w:hyperlink r:id="rId7" w:history="1">
        <w:r>
          <w:rPr/>
          <w:t xml:space="preserve">1407 </w:t>
        </w:r>
      </w:hyperlink>
      <w:hyperlink r:id="rId7" w:history="1">
        <w:r>
          <w:rPr>
            <w:i w:val="1"/>
            <w:iCs w:val="1"/>
          </w:rPr>
          <w:t xml:space="preserve">bis</w:t>
        </w:r>
      </w:hyperlink>
      <w:r>
        <w:rPr/>
        <w:t xml:space="preserve">du code général des impôts donne la possibilité aux communes d'assujettir à la taxe d'habitation, pour la part communale et celle revenant aux EPCI sans fiscalité propre, les logements vacants depuis plus de 2 années au 1</w:t>
      </w:r>
      <w:r>
        <w:rPr>
          <w:vertAlign w:val="superscript"/>
        </w:rPr>
        <w:t xml:space="preserve">er</w:t>
      </w:r>
      <w:r>
        <w:rPr/>
        <w:t xml:space="preserve"> janvier de l'année d'imposition. La délibération doit être prise avant le 1</w:t>
      </w:r>
      <w:r>
        <w:rPr>
          <w:vertAlign w:val="superscript"/>
        </w:rPr>
        <w:t xml:space="preserve">er</w:t>
      </w:r>
      <w:r>
        <w:rPr/>
        <w:t xml:space="preserve">octobre.</w:t>
      </w:r>
    </w:p>
    <w:p/>
    <w:p/>
    <w:p>
      <w:pPr>
        <w:jc w:val="both"/>
      </w:pPr>
      <w:r>
        <w:rPr>
          <w:b w:val="1"/>
          <w:bCs w:val="1"/>
        </w:rPr>
        <w:t xml:space="preserve">EXTRAIT DU REGISTRE DES DELIBERATIONS DU CONSEIL DE ...</w:t>
      </w:r>
      <w:br/>
      <w:r>
        <w:rPr>
          <w:b w:val="1"/>
          <w:bCs w:val="1"/>
        </w:rPr>
        <w:t xml:space="preserve"> SEANCE DU ...</w:t>
      </w:r>
    </w:p>
    <w:p/>
    <w:p>
      <w:pPr>
        <w:jc w:val="both"/>
      </w:pPr>
      <w:r>
        <w:rPr>
          <w:b w:val="1"/>
          <w:bCs w:val="1"/>
        </w:rPr>
        <w:t xml:space="preserve">OBJET : </w:t>
      </w:r>
      <w:r>
        <w:rPr/>
        <w:t xml:space="preserve">ASSUJETTISSEMENT DES LOGEMENTS VACANTS A LA TAXE D’HABITATION</w:t>
      </w:r>
      <w:br/>
      <w:r>
        <w:rPr/>
        <w:t xml:space="preserve">  </w:t>
      </w:r>
    </w:p>
    <w:p/>
    <w:p>
      <w:pPr>
        <w:jc w:val="both"/>
      </w:pPr>
      <w:r>
        <w:rPr/>
        <w:t xml:space="preserve">Le maire/le président de ... expose les dispositions de l’article 1407 </w:t>
      </w:r>
      <w:r>
        <w:rPr>
          <w:i w:val="1"/>
          <w:iCs w:val="1"/>
        </w:rPr>
        <w:t xml:space="preserve">bis</w:t>
      </w:r>
      <w:r>
        <w:rPr/>
        <w:t xml:space="preserve"> du code général des impôts permettant au conseil ... d'assujettir les logements vacants à la taxe d’habitation.</w:t>
      </w:r>
    </w:p>
    <w:p/>
    <w:p>
      <w:pPr>
        <w:jc w:val="both"/>
      </w:pPr>
      <w:r>
        <w:rPr/>
        <w:t xml:space="preserve">Il rappelle les conditions d’assujettissement des locaux et les critères d’appréciation de la vacance et précise qu’en cas d'imposition erronée liée à l'appréciation de la vacance, les dégrèvements en résultant sont à la charge de la collectivité.</w:t>
      </w:r>
    </w:p>
    <w:p/>
    <w:p>
      <w:pPr>
        <w:jc w:val="both"/>
      </w:pPr>
      <w:r>
        <w:rPr>
          <w:i w:val="1"/>
          <w:iCs w:val="1"/>
        </w:rPr>
        <w:t xml:space="preserve">(Exposé des motifs conduisant à la proposition) </w:t>
      </w:r>
      <w:br/>
      <w:r>
        <w:rPr/>
        <w:t xml:space="preserve">  </w:t>
      </w:r>
    </w:p>
    <w:p/>
    <w:p>
      <w:pPr>
        <w:jc w:val="both"/>
      </w:pPr>
      <w:r>
        <w:rPr/>
        <w:t xml:space="preserve">Vu l’article 1407 </w:t>
      </w:r>
      <w:r>
        <w:rPr>
          <w:i w:val="1"/>
          <w:iCs w:val="1"/>
        </w:rPr>
        <w:t xml:space="preserve">bis</w:t>
      </w:r>
      <w:r>
        <w:rPr/>
        <w:t xml:space="preserve"> du code général des impôts,</w:t>
      </w:r>
    </w:p>
    <w:p/>
    <w:p/>
    <w:p>
      <w:pPr>
        <w:jc w:val="both"/>
      </w:pPr>
      <w:r>
        <w:rPr>
          <w:b w:val="1"/>
          <w:bCs w:val="1"/>
        </w:rPr>
        <w:t xml:space="preserve">Le conseil ..., après en avoir délibéré :</w:t>
      </w:r>
    </w:p>
    <w:p/>
    <w:p>
      <w:pPr>
        <w:jc w:val="both"/>
      </w:pPr>
      <w:br/>
      <w:r>
        <w:rPr/>
        <w:t xml:space="preserve"> - Décide d’assujettir les logements vacants à la taxe d’habitation.</w:t>
      </w:r>
    </w:p>
    <w:p/>
    <w:p>
      <w:pPr>
        <w:jc w:val="both"/>
      </w:pPr>
      <w:r>
        <w:rPr/>
        <w:t xml:space="preserve">- Charge le maire/le président de notifier cette décision aux services préfectoraux.</w:t>
      </w:r>
    </w:p>
    <w:p/>
    <w:p/>
    <w:p>
      <w:pPr>
        <w:jc w:val="both"/>
      </w:pPr>
      <w:r>
        <w:rPr>
          <w:i w:val="1"/>
          <w:iCs w:val="1"/>
        </w:rPr>
        <w:t xml:space="preserve">                                            Les modèles sont proposés à titre indicatif. Ils ne sauraient être repris en l'étant être adaptés.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36426322?init=true&amp;page=1&amp;query=1407+bis&amp;searchField=ALL&amp;tab_selection=al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2026-03-10T03:35:44+01:00</dcterms:created>
  <dcterms:modified xsi:type="dcterms:W3CDTF">2026-03-10T03:35:44+01:00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